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30838">
      <w:pPr>
        <w:ind w:firstLine="640" w:firstLineChars="200"/>
        <w:rPr>
          <w:rFonts w:hint="eastAsia"/>
          <w:sz w:val="32"/>
          <w:szCs w:val="32"/>
        </w:rPr>
      </w:pPr>
    </w:p>
    <w:p w14:paraId="2230E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攀枝花市市本级202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4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年“三公”经费决算汇总情况</w:t>
      </w:r>
    </w:p>
    <w:p w14:paraId="5FA17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</w:p>
    <w:p w14:paraId="715B7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根据《中华人民共和国预算法》规定，经攀枝花市财政局汇总，202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年攀枝花市市本级部门，包括市级行政单位（含参照公务员法管理的事业单位）和事业单位使用财政拨款安排的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“三公”经费决算总额为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1989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万元，为预算的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86.59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%，较202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年决算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具体为：</w:t>
      </w:r>
    </w:p>
    <w:p w14:paraId="5868B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1.因公出国（境）经费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为预算的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91.7%，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较202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年决算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  <w:bookmarkStart w:id="0" w:name="_GoBack"/>
      <w:bookmarkEnd w:id="0"/>
    </w:p>
    <w:p w14:paraId="0CBEB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2.公务接待费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万元，为预算的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41.14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%，较202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年决算减少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万元，降低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16.98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 w14:paraId="21F20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3.公务用车购置及运行维护费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1780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万元，为预算的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85.28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%，较202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年决算增加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5.33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其中：公务用车购置费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172万元，较2023年决算增加154万元，主要是2024年购置车辆数量增加；公务用车运行维护费1608万元，较2023年决算减少64万元。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F51FB"/>
    <w:rsid w:val="17AD007F"/>
    <w:rsid w:val="22FB40FA"/>
    <w:rsid w:val="2EAB4F5F"/>
    <w:rsid w:val="30507E30"/>
    <w:rsid w:val="309D22BC"/>
    <w:rsid w:val="31010609"/>
    <w:rsid w:val="35FB1C3C"/>
    <w:rsid w:val="3AFB0A21"/>
    <w:rsid w:val="48CE657F"/>
    <w:rsid w:val="5C1E3A41"/>
    <w:rsid w:val="634947AF"/>
    <w:rsid w:val="70130ECC"/>
    <w:rsid w:val="78A8569E"/>
    <w:rsid w:val="7CC81382"/>
    <w:rsid w:val="7DA25A1C"/>
    <w:rsid w:val="7EF5321B"/>
    <w:rsid w:val="7F2D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2025-08-14T11:26:00Z</dcterms:created>
  <dc:creator>Administrator</dc:creator>
  <cp:lastModifiedBy>王羽</cp:lastModifiedBy>
  <dcterms:modified xsi:type="dcterms:W3CDTF">2025-09-23T07:30:12Z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949350476C644CF99123F2DA829AC55B_13</vt:lpwstr>
  </property>
  <property fmtid="{D5CDD505-2E9C-101B-9397-08002B2CF9AE}" pid="4" name="KSOTemplateDocerSaveRecord">
    <vt:lpwstr>eyJoZGlkIjoiZmIzZjExODZjZTdlNzI5NzkwMDdlYWFhNGUyYjdkODAiLCJ1c2VySWQiOiI3Mzc4ODY0MDUifQ==</vt:lpwstr>
  </property>
</Properties>
</file>